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46" w:rsidRDefault="00F82D46" w:rsidP="00F82D46">
      <w:pPr>
        <w:pStyle w:val="FootnoteText"/>
        <w:spacing w:line="240" w:lineRule="auto"/>
      </w:pPr>
      <w:r>
        <w:t>References</w:t>
      </w:r>
      <w:bookmarkStart w:id="0" w:name="_GoBack"/>
      <w:bookmarkEnd w:id="0"/>
    </w:p>
    <w:p w:rsidR="00F82D46" w:rsidRDefault="00F82D46" w:rsidP="00F82D46">
      <w:pPr>
        <w:pStyle w:val="FootnoteText"/>
        <w:spacing w:line="240" w:lineRule="auto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Clayton, P. J., Halikes, J. A., &amp; Maurice, W. L. (1971). The bereavement of the widowed.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i/>
          <w:iCs/>
        </w:rPr>
        <w:t>Diseases of the Nervous System</w:t>
      </w:r>
      <w:r>
        <w:rPr>
          <w:rFonts w:ascii="CG Times" w:hAnsi="CG Times" w:cs="CG Times"/>
        </w:rPr>
        <w:t xml:space="preserve">, </w:t>
      </w:r>
      <w:r>
        <w:rPr>
          <w:rFonts w:ascii="CG Times" w:hAnsi="CG Times" w:cs="CG Times"/>
          <w:i/>
          <w:iCs/>
        </w:rPr>
        <w:t>32</w:t>
      </w:r>
      <w:r>
        <w:rPr>
          <w:rFonts w:ascii="CG Times" w:hAnsi="CG Times" w:cs="CG Times"/>
        </w:rPr>
        <w:t>(9), 597-604.</w:t>
      </w:r>
    </w:p>
    <w:p w:rsidR="00F82D46" w:rsidRDefault="00F82D46" w:rsidP="00F82D46">
      <w:pPr>
        <w:pStyle w:val="FootnoteText"/>
        <w:spacing w:line="240" w:lineRule="auto"/>
        <w:rPr>
          <w:rFonts w:ascii="CG Times" w:hAnsi="CG Times" w:cs="CG Times"/>
        </w:rPr>
      </w:pPr>
      <w:proofErr w:type="spellStart"/>
      <w:r>
        <w:rPr>
          <w:rFonts w:ascii="CG Times" w:hAnsi="CG Times" w:cs="CG Times"/>
        </w:rPr>
        <w:t>Fowlkes</w:t>
      </w:r>
      <w:proofErr w:type="spellEnd"/>
      <w:r>
        <w:rPr>
          <w:rFonts w:ascii="CG Times" w:hAnsi="CG Times" w:cs="CG Times"/>
        </w:rPr>
        <w:t xml:space="preserve">, M. R. (1991). The morality of loss: The social construction of mourning and </w:t>
      </w:r>
      <w:r>
        <w:rPr>
          <w:rFonts w:ascii="CG Times" w:hAnsi="CG Times" w:cs="CG Times"/>
        </w:rPr>
        <w:tab/>
        <w:t xml:space="preserve">melancholia. </w:t>
      </w:r>
      <w:r>
        <w:rPr>
          <w:rFonts w:ascii="CG Times" w:hAnsi="CG Times" w:cs="CG Times"/>
          <w:i/>
          <w:iCs/>
        </w:rPr>
        <w:t>Contemporary Psychoanalysis</w:t>
      </w:r>
      <w:r>
        <w:rPr>
          <w:rFonts w:ascii="CG Times" w:hAnsi="CG Times" w:cs="CG Times"/>
        </w:rPr>
        <w:t xml:space="preserve">, </w:t>
      </w:r>
      <w:r>
        <w:rPr>
          <w:rFonts w:ascii="CG Times" w:hAnsi="CG Times" w:cs="CG Times"/>
          <w:i/>
          <w:iCs/>
        </w:rPr>
        <w:t>27</w:t>
      </w:r>
      <w:r>
        <w:rPr>
          <w:rFonts w:ascii="CG Times" w:hAnsi="CG Times" w:cs="CG Times"/>
        </w:rPr>
        <w:t>(3), 529-551.</w:t>
      </w:r>
    </w:p>
    <w:p w:rsidR="00F82D46" w:rsidRDefault="00F82D46" w:rsidP="00F82D46">
      <w:pPr>
        <w:spacing w:line="240" w:lineRule="auto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Lindemann, E. (1944). Symptomatology and management of acute grief. </w:t>
      </w:r>
      <w:r>
        <w:rPr>
          <w:rFonts w:ascii="CG Times" w:hAnsi="CG Times" w:cs="CG Times"/>
          <w:i/>
          <w:iCs/>
        </w:rPr>
        <w:t xml:space="preserve">American Journal of </w:t>
      </w:r>
      <w:r>
        <w:rPr>
          <w:rFonts w:ascii="CG Times" w:hAnsi="CG Times" w:cs="CG Times"/>
          <w:i/>
          <w:iCs/>
        </w:rPr>
        <w:tab/>
        <w:t>Psychiatry</w:t>
      </w:r>
      <w:r>
        <w:rPr>
          <w:rFonts w:ascii="CG Times" w:hAnsi="CG Times" w:cs="CG Times"/>
        </w:rPr>
        <w:t xml:space="preserve">, </w:t>
      </w:r>
      <w:r>
        <w:rPr>
          <w:rFonts w:ascii="CG Times" w:hAnsi="CG Times" w:cs="CG Times"/>
          <w:i/>
          <w:iCs/>
        </w:rPr>
        <w:t>101</w:t>
      </w:r>
      <w:r>
        <w:rPr>
          <w:rFonts w:ascii="CG Times" w:hAnsi="CG Times" w:cs="CG Times"/>
        </w:rPr>
        <w:t>, 141-148.</w:t>
      </w:r>
    </w:p>
    <w:p w:rsidR="00F82D46" w:rsidRDefault="00F82D46" w:rsidP="00F82D46">
      <w:pPr>
        <w:spacing w:line="240" w:lineRule="auto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Marris, P. (1968). </w:t>
      </w:r>
      <w:r>
        <w:rPr>
          <w:rFonts w:ascii="CG Times" w:hAnsi="CG Times" w:cs="CG Times"/>
          <w:i/>
          <w:iCs/>
        </w:rPr>
        <w:t>Widows and their families</w:t>
      </w:r>
      <w:r>
        <w:rPr>
          <w:rFonts w:ascii="CG Times" w:hAnsi="CG Times" w:cs="CG Times"/>
        </w:rPr>
        <w:t xml:space="preserve">. London: </w:t>
      </w:r>
      <w:proofErr w:type="spellStart"/>
      <w:r>
        <w:rPr>
          <w:rFonts w:ascii="CG Times" w:hAnsi="CG Times" w:cs="CG Times"/>
        </w:rPr>
        <w:t>Routledge</w:t>
      </w:r>
      <w:proofErr w:type="spellEnd"/>
      <w:r>
        <w:rPr>
          <w:rFonts w:ascii="CG Times" w:hAnsi="CG Times" w:cs="CG Times"/>
        </w:rPr>
        <w:t xml:space="preserve"> &amp; </w:t>
      </w:r>
      <w:proofErr w:type="spellStart"/>
      <w:r>
        <w:rPr>
          <w:rFonts w:ascii="CG Times" w:hAnsi="CG Times" w:cs="CG Times"/>
        </w:rPr>
        <w:t>Kegan</w:t>
      </w:r>
      <w:proofErr w:type="spellEnd"/>
      <w:r>
        <w:rPr>
          <w:rFonts w:ascii="CG Times" w:hAnsi="CG Times" w:cs="CG Times"/>
        </w:rPr>
        <w:t xml:space="preserve"> Paul. </w:t>
      </w:r>
      <w:proofErr w:type="spellStart"/>
      <w:r>
        <w:rPr>
          <w:rFonts w:ascii="CG Times" w:hAnsi="CG Times" w:cs="CG Times"/>
        </w:rPr>
        <w:t>Marsella</w:t>
      </w:r>
      <w:proofErr w:type="spellEnd"/>
      <w:r>
        <w:rPr>
          <w:rFonts w:ascii="CG Times" w:hAnsi="CG Times" w:cs="CG Times"/>
        </w:rPr>
        <w:t xml:space="preserve">, </w:t>
      </w:r>
      <w:r>
        <w:rPr>
          <w:rFonts w:ascii="CG Times" w:hAnsi="CG Times" w:cs="CG Times"/>
        </w:rPr>
        <w:tab/>
        <w:t xml:space="preserve">A., De </w:t>
      </w:r>
      <w:proofErr w:type="spellStart"/>
      <w:r>
        <w:rPr>
          <w:rFonts w:ascii="CG Times" w:hAnsi="CG Times" w:cs="CG Times"/>
        </w:rPr>
        <w:t>Vos</w:t>
      </w:r>
      <w:proofErr w:type="spellEnd"/>
      <w:r>
        <w:rPr>
          <w:rFonts w:ascii="CG Times" w:hAnsi="CG Times" w:cs="CG Times"/>
        </w:rPr>
        <w:t xml:space="preserve">, G.A., &amp; Hsu, F. (1985). </w:t>
      </w:r>
      <w:r>
        <w:rPr>
          <w:rFonts w:ascii="CG Times" w:hAnsi="CG Times" w:cs="CG Times"/>
          <w:i/>
          <w:iCs/>
        </w:rPr>
        <w:t>Culture and self</w:t>
      </w:r>
      <w:r>
        <w:rPr>
          <w:rFonts w:ascii="CG Times" w:hAnsi="CG Times" w:cs="CG Times"/>
        </w:rPr>
        <w:t xml:space="preserve">. London: </w:t>
      </w:r>
      <w:proofErr w:type="spellStart"/>
      <w:r>
        <w:rPr>
          <w:rFonts w:ascii="CG Times" w:hAnsi="CG Times" w:cs="CG Times"/>
        </w:rPr>
        <w:t>Tavistock</w:t>
      </w:r>
      <w:proofErr w:type="spellEnd"/>
      <w:r>
        <w:rPr>
          <w:rFonts w:ascii="CG Times" w:hAnsi="CG Times" w:cs="CG Times"/>
        </w:rPr>
        <w:t>.</w:t>
      </w:r>
    </w:p>
    <w:p w:rsidR="00F82D46" w:rsidRDefault="00F82D46" w:rsidP="00F82D46">
      <w:pPr>
        <w:spacing w:line="240" w:lineRule="auto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Parkes, C. M. (1987). </w:t>
      </w:r>
      <w:r>
        <w:rPr>
          <w:rFonts w:ascii="CG Times" w:hAnsi="CG Times" w:cs="CG Times"/>
          <w:i/>
          <w:iCs/>
        </w:rPr>
        <w:t>Bereavement: Studies of grief in adult life</w:t>
      </w:r>
      <w:r>
        <w:rPr>
          <w:rFonts w:ascii="CG Times" w:hAnsi="CG Times" w:cs="CG Times"/>
        </w:rPr>
        <w:t xml:space="preserve"> (2nd Amer. ed.). Madison, </w:t>
      </w:r>
      <w:r>
        <w:rPr>
          <w:rFonts w:ascii="CG Times" w:hAnsi="CG Times" w:cs="CG Times"/>
        </w:rPr>
        <w:tab/>
        <w:t>CT: International Universities Press, Inc.</w:t>
      </w:r>
    </w:p>
    <w:p w:rsidR="00F82D46" w:rsidRPr="00EC5CDC" w:rsidRDefault="00F82D46" w:rsidP="00F82D46">
      <w:pPr>
        <w:pStyle w:val="Reference"/>
      </w:pPr>
      <w:r w:rsidRPr="00EC5CDC">
        <w:t xml:space="preserve">Parkes, C. M., &amp; Weiss, R. S.  (1983).  </w:t>
      </w:r>
      <w:r w:rsidRPr="00EC5CDC">
        <w:rPr>
          <w:i/>
        </w:rPr>
        <w:t>Recovery from bereavement</w:t>
      </w:r>
      <w:r w:rsidRPr="00EC5CDC">
        <w:t>.  New York: Basic Books.</w:t>
      </w:r>
    </w:p>
    <w:p w:rsidR="00F82D46" w:rsidRDefault="00F82D46" w:rsidP="00F82D46">
      <w:pPr>
        <w:spacing w:line="240" w:lineRule="auto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Rando, T. A. (1984). </w:t>
      </w:r>
      <w:r>
        <w:rPr>
          <w:rFonts w:ascii="CG Times" w:hAnsi="CG Times" w:cs="CG Times"/>
          <w:i/>
          <w:iCs/>
        </w:rPr>
        <w:t>Grief, dying, and death: Clinical interventions for caregivers</w:t>
      </w:r>
      <w:r>
        <w:rPr>
          <w:rFonts w:ascii="CG Times" w:hAnsi="CG Times" w:cs="CG Times"/>
        </w:rPr>
        <w:t xml:space="preserve">. Illinois: </w:t>
      </w:r>
      <w:r>
        <w:rPr>
          <w:rFonts w:ascii="CG Times" w:hAnsi="CG Times" w:cs="CG Times"/>
        </w:rPr>
        <w:tab/>
        <w:t>Research Press Co.</w:t>
      </w:r>
    </w:p>
    <w:p w:rsidR="00F82D46" w:rsidRDefault="00F82D46" w:rsidP="00F82D46">
      <w:pPr>
        <w:spacing w:line="240" w:lineRule="auto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Raphael, B. (1983). </w:t>
      </w:r>
      <w:r>
        <w:rPr>
          <w:rFonts w:ascii="CG Times" w:hAnsi="CG Times" w:cs="CG Times"/>
          <w:i/>
          <w:iCs/>
        </w:rPr>
        <w:t>The anatomy of bereavement</w:t>
      </w:r>
      <w:r>
        <w:rPr>
          <w:rFonts w:ascii="CG Times" w:hAnsi="CG Times" w:cs="CG Times"/>
        </w:rPr>
        <w:t>. New York: Basic Books.</w:t>
      </w:r>
    </w:p>
    <w:p w:rsidR="00F82D46" w:rsidRDefault="00F82D46" w:rsidP="00F82D46">
      <w:pPr>
        <w:spacing w:line="240" w:lineRule="auto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Tatelbaum, J. (1980). </w:t>
      </w:r>
      <w:r>
        <w:rPr>
          <w:rFonts w:ascii="CG Times" w:hAnsi="CG Times" w:cs="CG Times"/>
          <w:i/>
          <w:iCs/>
        </w:rPr>
        <w:t>The courage to grieve</w:t>
      </w:r>
      <w:r>
        <w:rPr>
          <w:rFonts w:ascii="CG Times" w:hAnsi="CG Times" w:cs="CG Times"/>
        </w:rPr>
        <w:t>. New York: Lippincott &amp; Crowell.</w:t>
      </w:r>
    </w:p>
    <w:p w:rsidR="00F82D46" w:rsidRDefault="00F82D46" w:rsidP="00F82D46">
      <w:pPr>
        <w:spacing w:line="240" w:lineRule="auto"/>
        <w:rPr>
          <w:rFonts w:ascii="CG Times" w:hAnsi="CG Times" w:cs="CG Times"/>
        </w:rPr>
      </w:pPr>
      <w:proofErr w:type="spellStart"/>
      <w:r>
        <w:rPr>
          <w:rFonts w:ascii="CG Times" w:hAnsi="CG Times" w:cs="CG Times"/>
        </w:rPr>
        <w:t>Tittensor</w:t>
      </w:r>
      <w:proofErr w:type="spellEnd"/>
      <w:r>
        <w:rPr>
          <w:rFonts w:ascii="CG Times" w:hAnsi="CG Times" w:cs="CG Times"/>
        </w:rPr>
        <w:t xml:space="preserve">, J. (1984). </w:t>
      </w:r>
      <w:r>
        <w:rPr>
          <w:rFonts w:ascii="CG Times" w:hAnsi="CG Times" w:cs="CG Times"/>
          <w:i/>
          <w:iCs/>
        </w:rPr>
        <w:t>Year one: A record</w:t>
      </w:r>
      <w:r>
        <w:rPr>
          <w:rFonts w:ascii="CG Times" w:hAnsi="CG Times" w:cs="CG Times"/>
        </w:rPr>
        <w:t xml:space="preserve">. Fitzroy, Victoria, Australia: McPhee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Gribble/Penguin Books.</w:t>
      </w:r>
    </w:p>
    <w:p w:rsidR="00F82D46" w:rsidRPr="00F82D46" w:rsidRDefault="00F82D46" w:rsidP="00F82D46"/>
    <w:sectPr w:rsidR="00F82D46" w:rsidRPr="00F82D46" w:rsidSect="00861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46"/>
    <w:rsid w:val="0086141C"/>
    <w:rsid w:val="00F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8E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46"/>
    <w:pPr>
      <w:spacing w:after="200" w:line="276" w:lineRule="auto"/>
    </w:pPr>
    <w:rPr>
      <w:rFonts w:ascii="Lucida Fax" w:eastAsia="Calibri" w:hAnsi="Lucida Fax" w:cs="Miriam Fix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82D46"/>
  </w:style>
  <w:style w:type="character" w:customStyle="1" w:styleId="FootnoteTextChar">
    <w:name w:val="Footnote Text Char"/>
    <w:basedOn w:val="DefaultParagraphFont"/>
    <w:link w:val="FootnoteText"/>
    <w:uiPriority w:val="99"/>
    <w:rsid w:val="00F82D46"/>
    <w:rPr>
      <w:rFonts w:ascii="Lucida Fax" w:eastAsia="Calibri" w:hAnsi="Lucida Fax" w:cs="Miriam Fixed"/>
    </w:rPr>
  </w:style>
  <w:style w:type="paragraph" w:customStyle="1" w:styleId="Reference">
    <w:name w:val="Reference"/>
    <w:basedOn w:val="Normal"/>
    <w:rsid w:val="00F82D46"/>
    <w:pPr>
      <w:tabs>
        <w:tab w:val="left" w:pos="7200"/>
      </w:tabs>
      <w:spacing w:after="0" w:line="240" w:lineRule="auto"/>
      <w:ind w:left="360" w:hanging="360"/>
    </w:pPr>
    <w:rPr>
      <w:rFonts w:ascii="CG Times" w:eastAsia="Times New Roman" w:hAnsi="CG 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46"/>
    <w:pPr>
      <w:spacing w:after="200" w:line="276" w:lineRule="auto"/>
    </w:pPr>
    <w:rPr>
      <w:rFonts w:ascii="Lucida Fax" w:eastAsia="Calibri" w:hAnsi="Lucida Fax" w:cs="Miriam Fix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82D46"/>
  </w:style>
  <w:style w:type="character" w:customStyle="1" w:styleId="FootnoteTextChar">
    <w:name w:val="Footnote Text Char"/>
    <w:basedOn w:val="DefaultParagraphFont"/>
    <w:link w:val="FootnoteText"/>
    <w:uiPriority w:val="99"/>
    <w:rsid w:val="00F82D46"/>
    <w:rPr>
      <w:rFonts w:ascii="Lucida Fax" w:eastAsia="Calibri" w:hAnsi="Lucida Fax" w:cs="Miriam Fixed"/>
    </w:rPr>
  </w:style>
  <w:style w:type="paragraph" w:customStyle="1" w:styleId="Reference">
    <w:name w:val="Reference"/>
    <w:basedOn w:val="Normal"/>
    <w:rsid w:val="00F82D46"/>
    <w:pPr>
      <w:tabs>
        <w:tab w:val="left" w:pos="7200"/>
      </w:tabs>
      <w:spacing w:after="0" w:line="240" w:lineRule="auto"/>
      <w:ind w:left="360" w:hanging="360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Macintosh Word</Application>
  <DocSecurity>0</DocSecurity>
  <Lines>8</Lines>
  <Paragraphs>2</Paragraphs>
  <ScaleCrop>false</ScaleCrop>
  <Company>MARILYN MCCABE SEEMAN, PH.D.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SEEMAN</dc:creator>
  <cp:keywords/>
  <dc:description/>
  <cp:lastModifiedBy>MARILYN SEEMAN</cp:lastModifiedBy>
  <cp:revision>1</cp:revision>
  <dcterms:created xsi:type="dcterms:W3CDTF">2018-03-12T00:09:00Z</dcterms:created>
  <dcterms:modified xsi:type="dcterms:W3CDTF">2018-03-12T00:11:00Z</dcterms:modified>
</cp:coreProperties>
</file>